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Growth Group Curriculum</w:t>
        <w:br w:type="textWrapping"/>
        <w:t xml:space="preserve">SPRING SEMESTER 2021</w:t>
      </w:r>
    </w:p>
    <w:p w:rsidR="00000000" w:rsidDel="00000000" w:rsidP="00000000" w:rsidRDefault="00000000" w:rsidRPr="00000000" w14:paraId="00000002">
      <w:pPr>
        <w:pStyle w:val="Subtitle"/>
        <w:rPr>
          <w:rFonts w:ascii="Open Sans" w:cs="Open Sans" w:eastAsia="Open Sans" w:hAnsi="Open Sans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Mark Week 22 ch. 8 vv. 1 - 22</w:t>
      </w:r>
    </w:p>
    <w:p w:rsidR="00000000" w:rsidDel="00000000" w:rsidP="00000000" w:rsidRDefault="00000000" w:rsidRPr="00000000" w14:paraId="00000003">
      <w:pPr>
        <w:pStyle w:val="Subtitle"/>
        <w:rPr>
          <w:rFonts w:ascii="Open Sans" w:cs="Open Sans" w:eastAsia="Open Sans" w:hAnsi="Open Sans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For information on Growth Groups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info@cbclife.org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17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Was there anything from this past Sunday’s message that challenged or confused you?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you think of one thing from Sunday’s sermon that you are likely to remember two weeks from now?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0" w:firstLine="0"/>
        <w:rPr>
          <w:sz w:val="24"/>
          <w:szCs w:val="24"/>
        </w:rPr>
      </w:pPr>
      <w:bookmarkStart w:colFirst="0" w:colLast="0" w:name="_heading=h.eq05xu215s0r" w:id="4"/>
      <w:bookmarkEnd w:id="4"/>
      <w:r w:rsidDel="00000000" w:rsidR="00000000" w:rsidRPr="00000000">
        <w:rPr>
          <w:sz w:val="24"/>
          <w:szCs w:val="24"/>
          <w:rtl w:val="0"/>
        </w:rPr>
        <w:t xml:space="preserve">DIGGING DEEPER</w:t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verses 1-10, what differences are there between this feeding miracle and the one in Mk 6:30?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might be Mark’s purpose in including this one?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verse 11, why do the Pharisees ask for a sign? Why won’t Jesus give them one? What does this teach us about the nature of faith in Jesus?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Jesus trying to get across to his disciples in verses 14-21? What does their failure to understand teach us about ourselves?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this weekend’s message, we heard another story about Jesus feeding thousands of people in a place where food was scarce. Though the disciples had recently witnessed Jesus feeding the 5,000, they still asked him where anyone could get enough bread to feed the crowd.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are some reasons you can think of for why the disciples asked this question after everything they had already seen? 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you think of any times in your life when you’ve had a similar response to something Jesus was asking you to do?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sz w:val="24"/>
          <w:szCs w:val="24"/>
        </w:rPr>
      </w:pPr>
      <w:bookmarkStart w:colFirst="0" w:colLast="0" w:name="_heading=h.4d34og8" w:id="5"/>
      <w:bookmarkEnd w:id="5"/>
      <w:r w:rsidDel="00000000" w:rsidR="00000000" w:rsidRPr="00000000">
        <w:rPr>
          <w:sz w:val="24"/>
          <w:szCs w:val="24"/>
          <w:rtl w:val="0"/>
        </w:rPr>
        <w:t xml:space="preserve">Prayer Requests: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18" name="image1.png"/>
          <a:graphic>
            <a:graphicData uri="http://schemas.openxmlformats.org/drawingml/2006/picture">
              <pic:pic>
                <pic:nvPicPr>
                  <pic:cNvPr descr="foot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20" name="image1.png"/>
          <a:graphic>
            <a:graphicData uri="http://schemas.openxmlformats.org/drawingml/2006/picture">
              <pic:pic>
                <pic:nvPicPr>
                  <pic:cNvPr descr="foot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heading=h.2s8eyo1" w:id="6"/>
    <w:bookmarkEnd w:id="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19" name="image1.png"/>
          <a:graphic>
            <a:graphicData uri="http://schemas.openxmlformats.org/drawingml/2006/picture">
              <pic:pic>
                <pic:nvPicPr>
                  <pic:cNvPr descr="head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bclife.or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qgdtgDcdpJFEDtoiCNfJNmhDQ==">AMUW2mVwr4x3iGFZt/MQBK2GxZEBEcXSahbE1Pf6fL4Reu7/+BGDbzGENjLRIvN4dC0rvokpimvJqPmIku0/QotVO58RPVUJ6s6Jel6FYlzBsd0evRT2pkBMxKrxExHp7eQjM1ctZR2MQuSWGvLONlzAzFeDspGW1u/kciB7UfuZCcGraUc1cEKcIvkbYOIDPFNKRgKMl8HmlICZcRn09fOk1OFRK1AEOQ==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